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7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33" w:rsidRPr="00875398" w:rsidRDefault="0079729E" w:rsidP="0079729E">
      <w:pPr>
        <w:pStyle w:val="a6"/>
        <w:tabs>
          <w:tab w:val="left" w:pos="4305"/>
        </w:tabs>
        <w:snapToGrid w:val="0"/>
        <w:spacing w:line="360" w:lineRule="auto"/>
        <w:ind w:firstLineChars="200" w:firstLine="641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3pt;margin-top:807pt;width:25pt;height:20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本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章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整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合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83" name="图片 383" descr="网络构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网络构建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5330825" cy="3209290"/>
            <wp:effectExtent l="0" t="0" r="3175" b="0"/>
            <wp:docPr id="384" name="图片 384" descr="BY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BY60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2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385" name="图片 385" descr="直击高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直击高考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Times New Roman"/>
        </w:rPr>
        <w:t>Ⅰ</w:t>
      </w:r>
      <w:r w:rsidRPr="00875398">
        <w:rPr>
          <w:rFonts w:ascii="Times New Roman" w:hAnsi="Times New Roman" w:cs="Times New Roman"/>
        </w:rPr>
        <w:t>改编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生物膜的结构与功能存在密切的联系。下列有关叙述错误的是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．叶绿体的类囊体膜不属于内膜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．溶酶体膜破裂后释放出的酶会造成膜结构的破坏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．细胞的核膜是双层膜结构，核孔是物质进出细胞核的通道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．线粒体只有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没有</w:t>
      </w:r>
      <w:r w:rsidRPr="00875398">
        <w:rPr>
          <w:rFonts w:ascii="Times New Roman" w:hAnsi="Times New Roman" w:cs="Times New Roman"/>
        </w:rPr>
        <w:t>RNA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线粒体既有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也有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。故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错。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北京卷改编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哺乳动物肝细胞的代谢活动十分旺盛，下列细胞结构与对应功能表述有误的是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．细胞核：遗传物质储存与代谢控制中心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．线粒体：与</w:t>
      </w:r>
      <w:r w:rsidRPr="00875398">
        <w:rPr>
          <w:rFonts w:ascii="Times New Roman" w:hAnsi="Times New Roman" w:cs="Times New Roman"/>
        </w:rPr>
        <w:t>ATP</w:t>
      </w:r>
      <w:r w:rsidRPr="00875398">
        <w:rPr>
          <w:rFonts w:ascii="Times New Roman" w:hAnsi="Times New Roman" w:cs="Times New Roman"/>
        </w:rPr>
        <w:t>合成有关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．高尔基体：分泌蛋白的合成与加工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．溶酶体：降解失去功能的细胞组分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高尔基体主要是对来自内质网的蛋白质进行加工，分类和包装的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车间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及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发送站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。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(2017·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Times New Roman"/>
        </w:rPr>
        <w:t>Ⅰ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下列关于细胞结构与成分的叙述，错误的是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A</w:t>
      </w:r>
      <w:r w:rsidRPr="00875398">
        <w:rPr>
          <w:rFonts w:ascii="Times New Roman" w:hAnsi="Times New Roman" w:cs="Times New Roman"/>
        </w:rPr>
        <w:t>．细胞膜的完整性可用台盼蓝染色法进行检测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．检测氨基酸的含量可用双缩脲试剂进行显色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．若要观察处于细胞分裂中期的染色体可用醋酸洋红液染色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．斐林试剂是含有</w:t>
      </w:r>
      <w:r w:rsidRPr="00875398">
        <w:rPr>
          <w:rFonts w:ascii="Times New Roman" w:hAnsi="Times New Roman" w:cs="Times New Roman"/>
        </w:rPr>
        <w:t>Cu</w:t>
      </w:r>
      <w:r w:rsidRPr="00875398">
        <w:rPr>
          <w:rFonts w:ascii="Times New Roman" w:hAnsi="Times New Roman" w:cs="Times New Roman"/>
          <w:vertAlign w:val="superscript"/>
        </w:rPr>
        <w:t>2</w:t>
      </w:r>
      <w:r w:rsidRPr="00875398">
        <w:rPr>
          <w:rFonts w:ascii="Times New Roman" w:hAnsi="Times New Roman" w:cs="Times New Roman"/>
          <w:vertAlign w:val="superscript"/>
        </w:rPr>
        <w:t>＋</w:t>
      </w:r>
      <w:r w:rsidRPr="00875398">
        <w:rPr>
          <w:rFonts w:ascii="Times New Roman" w:hAnsi="Times New Roman" w:cs="Times New Roman"/>
        </w:rPr>
        <w:t>的碱性溶液，可被葡萄糖还原成砖红色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完整的细胞膜能够控制物质进出细胞，台盼蓝染色剂不能通过完整的细胞膜进入细胞，所以具有完整细胞膜的活细胞不被染色，而不完整的细胞膜不具有控制物质进出细胞的功能，所以台盼蓝染色剂可进入细胞内，将细胞染成蓝色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正确；检测蛋白质时可用双缩脲试剂进行显色，而检测氨基酸时不能用双缩脲试剂，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错误；染色体容易被碱性染料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如醋酸洋红液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染色，在细胞分裂中期，可观察到被染色的染色体的形态和数目，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正确；斐林试剂由</w:t>
      </w:r>
      <w:r w:rsidRPr="00875398">
        <w:rPr>
          <w:rFonts w:ascii="Times New Roman" w:eastAsia="仿宋_GB2312" w:hAnsi="Times New Roman" w:cs="Times New Roman"/>
        </w:rPr>
        <w:t>0.1g</w:t>
      </w:r>
      <w:r w:rsidRPr="00875398">
        <w:rPr>
          <w:rFonts w:ascii="IPAPANNEW" w:eastAsia="仿宋_GB2312" w:hAnsi="IPAPANNEW" w:cs="Times New Roman"/>
        </w:rPr>
        <w:t>/mL</w:t>
      </w:r>
      <w:r w:rsidRPr="00875398">
        <w:rPr>
          <w:rFonts w:ascii="IPAPANNEW" w:eastAsia="仿宋_GB2312" w:hAnsi="IPAPANNEW" w:cs="Times New Roman"/>
        </w:rPr>
        <w:t>的</w:t>
      </w:r>
      <w:r w:rsidRPr="00875398">
        <w:rPr>
          <w:rFonts w:ascii="IPAPANNEW" w:eastAsia="仿宋_GB2312" w:hAnsi="IPAPANNEW" w:cs="Times New Roman"/>
        </w:rPr>
        <w:t>NaOH</w:t>
      </w:r>
      <w:r w:rsidRPr="00875398">
        <w:rPr>
          <w:rFonts w:ascii="IPAPANNEW" w:eastAsia="仿宋_GB2312" w:hAnsi="IPAPANNEW" w:cs="Times New Roman"/>
        </w:rPr>
        <w:t>溶液和</w:t>
      </w:r>
      <w:r w:rsidRPr="00875398">
        <w:rPr>
          <w:rFonts w:ascii="IPAPANNEW" w:eastAsia="仿宋_GB2312" w:hAnsi="IPAPANNEW" w:cs="Times New Roman"/>
        </w:rPr>
        <w:t>0.05g/</w:t>
      </w:r>
      <w:r w:rsidRPr="00875398">
        <w:rPr>
          <w:rFonts w:ascii="Times New Roman" w:eastAsia="仿宋_GB2312" w:hAnsi="Times New Roman" w:cs="Times New Roman"/>
        </w:rPr>
        <w:t>mL</w:t>
      </w:r>
      <w:r w:rsidRPr="00875398">
        <w:rPr>
          <w:rFonts w:ascii="Times New Roman" w:eastAsia="仿宋_GB2312" w:hAnsi="Times New Roman" w:cs="Times New Roman"/>
        </w:rPr>
        <w:t>的</w:t>
      </w:r>
      <w:r w:rsidRPr="00875398">
        <w:rPr>
          <w:rFonts w:ascii="Times New Roman" w:eastAsia="仿宋_GB2312" w:hAnsi="Times New Roman" w:cs="Times New Roman"/>
        </w:rPr>
        <w:t>CuSO</w:t>
      </w:r>
      <w:r w:rsidRPr="00875398">
        <w:rPr>
          <w:rFonts w:ascii="Times New Roman" w:eastAsia="仿宋_GB2312" w:hAnsi="Times New Roman" w:cs="Times New Roman"/>
          <w:vertAlign w:val="subscript"/>
        </w:rPr>
        <w:t>4</w:t>
      </w:r>
      <w:r w:rsidRPr="00875398">
        <w:rPr>
          <w:rFonts w:ascii="Times New Roman" w:eastAsia="仿宋_GB2312" w:hAnsi="Times New Roman" w:cs="Times New Roman"/>
        </w:rPr>
        <w:t>溶液等量混合制成，其中含有一定量的</w:t>
      </w:r>
      <w:r w:rsidRPr="00875398">
        <w:rPr>
          <w:rFonts w:ascii="Times New Roman" w:eastAsia="仿宋_GB2312" w:hAnsi="Times New Roman" w:cs="Times New Roman"/>
        </w:rPr>
        <w:t>Cu</w:t>
      </w:r>
      <w:r w:rsidRPr="00875398">
        <w:rPr>
          <w:rFonts w:ascii="Times New Roman" w:eastAsia="仿宋_GB2312" w:hAnsi="Times New Roman" w:cs="Times New Roman"/>
          <w:vertAlign w:val="superscript"/>
        </w:rPr>
        <w:t>2</w:t>
      </w:r>
      <w:r w:rsidRPr="00875398">
        <w:rPr>
          <w:rFonts w:ascii="Times New Roman" w:eastAsia="仿宋_GB2312" w:hAnsi="Times New Roman" w:cs="Times New Roman"/>
          <w:vertAlign w:val="superscript"/>
        </w:rPr>
        <w:t>＋</w:t>
      </w:r>
      <w:r w:rsidRPr="00875398">
        <w:rPr>
          <w:rFonts w:ascii="Times New Roman" w:eastAsia="仿宋_GB2312" w:hAnsi="Times New Roman" w:cs="Times New Roman"/>
        </w:rPr>
        <w:t>和</w:t>
      </w:r>
      <w:r w:rsidRPr="00875398">
        <w:rPr>
          <w:rFonts w:ascii="Times New Roman" w:eastAsia="仿宋_GB2312" w:hAnsi="Times New Roman" w:cs="Times New Roman"/>
        </w:rPr>
        <w:t>OH</w:t>
      </w:r>
      <w:r w:rsidRPr="00875398">
        <w:rPr>
          <w:rFonts w:ascii="Times New Roman" w:eastAsia="仿宋_GB2312" w:hAnsi="Times New Roman" w:cs="Times New Roman"/>
          <w:vertAlign w:val="superscript"/>
        </w:rPr>
        <w:t>－</w:t>
      </w:r>
      <w:r w:rsidRPr="00875398">
        <w:rPr>
          <w:rFonts w:ascii="Times New Roman" w:eastAsia="仿宋_GB2312" w:hAnsi="Times New Roman" w:cs="Times New Roman"/>
        </w:rPr>
        <w:t>，葡</w:t>
      </w:r>
      <w:r w:rsidRPr="00875398">
        <w:rPr>
          <w:rFonts w:ascii="Times New Roman" w:eastAsia="仿宋_GB2312" w:hAnsi="Times New Roman" w:cs="Times New Roman"/>
        </w:rPr>
        <w:t>萄糖是还原糖，可在</w:t>
      </w:r>
      <w:r w:rsidRPr="00875398">
        <w:rPr>
          <w:rFonts w:ascii="Times New Roman" w:eastAsia="仿宋_GB2312" w:hAnsi="Times New Roman" w:cs="Times New Roman"/>
        </w:rPr>
        <w:t>50</w:t>
      </w:r>
      <w:r w:rsidRPr="00875398">
        <w:rPr>
          <w:rFonts w:ascii="Times New Roman" w:eastAsia="仿宋_GB2312" w:hAnsi="Times New Roman" w:cs="Times New Roman"/>
        </w:rPr>
        <w:t>～</w:t>
      </w:r>
      <w:r w:rsidRPr="00875398">
        <w:rPr>
          <w:rFonts w:ascii="Times New Roman" w:eastAsia="仿宋_GB2312" w:hAnsi="Times New Roman" w:cs="Times New Roman"/>
        </w:rPr>
        <w:t>65</w:t>
      </w:r>
      <w:r w:rsidRPr="00875398">
        <w:rPr>
          <w:rFonts w:eastAsia="仿宋_GB2312" w:hAnsi="宋体" w:cs="Times New Roman"/>
        </w:rPr>
        <w:t>℃</w:t>
      </w:r>
      <w:r w:rsidRPr="00875398">
        <w:rPr>
          <w:rFonts w:ascii="Times New Roman" w:eastAsia="仿宋_GB2312" w:hAnsi="Times New Roman" w:cs="Times New Roman"/>
        </w:rPr>
        <w:t>水浴条件下与斐林试剂发生反应产生砖红色沉淀，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正确。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4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(2017·</w:t>
      </w:r>
      <w:r w:rsidRPr="00875398">
        <w:rPr>
          <w:rFonts w:ascii="Times New Roman" w:hAnsi="Times New Roman" w:cs="Times New Roman"/>
        </w:rPr>
        <w:t>江苏高考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如图为某细胞结构示意图。下列有关叙述正确的是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1802765" cy="1155700"/>
            <wp:effectExtent l="0" t="0" r="6985" b="6350"/>
            <wp:docPr id="386" name="图片 386" descr="17JSSW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17JSSW7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hAnsi="宋体" w:cs="Times New Roman"/>
        </w:rPr>
        <w:t>①②④</w:t>
      </w:r>
      <w:r w:rsidRPr="00875398">
        <w:rPr>
          <w:rFonts w:ascii="Times New Roman" w:hAnsi="Times New Roman" w:cs="Times New Roman"/>
        </w:rPr>
        <w:t>属于生物膜系统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．结构</w:t>
      </w:r>
      <w:r w:rsidRPr="00875398">
        <w:rPr>
          <w:rFonts w:hAnsi="宋体" w:cs="Times New Roman"/>
        </w:rPr>
        <w:t>③</w:t>
      </w:r>
      <w:r w:rsidRPr="00875398">
        <w:rPr>
          <w:rFonts w:ascii="Times New Roman" w:hAnsi="Times New Roman" w:cs="Times New Roman"/>
        </w:rPr>
        <w:t>能增大细胞膜的面积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hAnsi="宋体" w:cs="Times New Roman"/>
        </w:rPr>
        <w:t>⑤</w:t>
      </w:r>
      <w:r w:rsidRPr="00875398">
        <w:rPr>
          <w:rFonts w:ascii="Times New Roman" w:hAnsi="Times New Roman" w:cs="Times New Roman"/>
        </w:rPr>
        <w:t>具有选择透过性，而</w:t>
      </w:r>
      <w:r w:rsidRPr="00875398">
        <w:rPr>
          <w:rFonts w:hAnsi="宋体" w:cs="Times New Roman"/>
        </w:rPr>
        <w:t>⑥</w:t>
      </w:r>
      <w:r w:rsidRPr="00875398">
        <w:rPr>
          <w:rFonts w:ascii="Times New Roman" w:hAnsi="Times New Roman" w:cs="Times New Roman"/>
        </w:rPr>
        <w:t>具有全透性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．细胞膜不同部位的化学成分和功能有差异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eastAsia="仿宋_GB2312" w:hAnsi="宋体" w:cs="Times New Roman"/>
        </w:rPr>
        <w:t>①</w:t>
      </w:r>
      <w:r w:rsidRPr="00875398">
        <w:rPr>
          <w:rFonts w:ascii="Times New Roman" w:eastAsia="仿宋_GB2312" w:hAnsi="Times New Roman" w:cs="Times New Roman"/>
        </w:rPr>
        <w:t>为内质网，</w:t>
      </w:r>
      <w:r w:rsidRPr="00875398">
        <w:rPr>
          <w:rFonts w:eastAsia="仿宋_GB2312" w:hAnsi="宋体" w:cs="Times New Roman"/>
        </w:rPr>
        <w:t>②</w:t>
      </w:r>
      <w:r w:rsidRPr="00875398">
        <w:rPr>
          <w:rFonts w:ascii="Times New Roman" w:eastAsia="仿宋_GB2312" w:hAnsi="Times New Roman" w:cs="Times New Roman"/>
        </w:rPr>
        <w:t>为细胞膜，都属于生物膜系统；</w:t>
      </w:r>
      <w:r w:rsidRPr="00875398">
        <w:rPr>
          <w:rFonts w:eastAsia="仿宋_GB2312" w:hAnsi="宋体" w:cs="Times New Roman"/>
        </w:rPr>
        <w:t>④</w:t>
      </w:r>
      <w:r w:rsidRPr="00875398">
        <w:rPr>
          <w:rFonts w:ascii="Times New Roman" w:eastAsia="仿宋_GB2312" w:hAnsi="Times New Roman" w:cs="Times New Roman"/>
        </w:rPr>
        <w:t>为中心体，无膜结构，不属于细胞的生物膜系统，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项错误。结构</w:t>
      </w:r>
      <w:r w:rsidRPr="00875398">
        <w:rPr>
          <w:rFonts w:eastAsia="仿宋_GB2312" w:hAnsi="宋体" w:cs="Times New Roman"/>
        </w:rPr>
        <w:t>③</w:t>
      </w:r>
      <w:r w:rsidRPr="00875398">
        <w:rPr>
          <w:rFonts w:ascii="Times New Roman" w:eastAsia="仿宋_GB2312" w:hAnsi="Times New Roman" w:cs="Times New Roman"/>
        </w:rPr>
        <w:t>为细胞膜的凸起，增大了细胞膜的表面积，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项正确。</w:t>
      </w:r>
      <w:r w:rsidRPr="00875398">
        <w:rPr>
          <w:rFonts w:eastAsia="仿宋_GB2312" w:hAnsi="宋体" w:cs="Times New Roman"/>
        </w:rPr>
        <w:t>⑤</w:t>
      </w:r>
      <w:r w:rsidRPr="00875398">
        <w:rPr>
          <w:rFonts w:ascii="Times New Roman" w:eastAsia="仿宋_GB2312" w:hAnsi="Times New Roman" w:cs="Times New Roman"/>
        </w:rPr>
        <w:t>为核膜，与其他生物膜一样有选择透过性；</w:t>
      </w:r>
      <w:r w:rsidRPr="00875398">
        <w:rPr>
          <w:rFonts w:eastAsia="仿宋_GB2312" w:hAnsi="宋体" w:cs="Times New Roman"/>
        </w:rPr>
        <w:t>⑥</w:t>
      </w:r>
      <w:r w:rsidRPr="00875398">
        <w:rPr>
          <w:rFonts w:ascii="Times New Roman" w:eastAsia="仿宋_GB2312" w:hAnsi="Times New Roman" w:cs="Times New Roman"/>
        </w:rPr>
        <w:t>为核孔，对大分子物质具有选择性，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项错误。细胞膜不同部位的结构不同，化学成分和功能有差异，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项正确。</w:t>
      </w:r>
    </w:p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5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(2015·</w:t>
      </w:r>
      <w:r w:rsidRPr="00875398">
        <w:rPr>
          <w:rFonts w:ascii="Times New Roman" w:hAnsi="Times New Roman" w:cs="Times New Roman"/>
        </w:rPr>
        <w:t>安徽高考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血浆中的抗体是浆细胞产生的分泌蛋白。下表列出的抗体肽链合成与抗体加工的场所，正确的是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076"/>
        <w:gridCol w:w="2286"/>
      </w:tblGrid>
      <w:tr w:rsidR="001002C4" w:rsidTr="00E95A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抗体肽链合成场所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抗体加工场所</w:t>
            </w:r>
          </w:p>
        </w:tc>
      </w:tr>
      <w:tr w:rsidR="001002C4" w:rsidTr="00E95A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游离的核糖体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细胞质基质、内质网</w:t>
            </w:r>
          </w:p>
        </w:tc>
      </w:tr>
      <w:tr w:rsidR="001002C4" w:rsidTr="00E95A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游离的核糖体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溶酶体、高尔基体</w:t>
            </w:r>
          </w:p>
        </w:tc>
      </w:tr>
      <w:tr w:rsidR="001002C4" w:rsidTr="00E95A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内质网上的核糖体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溶酶体、内质网</w:t>
            </w:r>
          </w:p>
        </w:tc>
      </w:tr>
      <w:tr w:rsidR="001002C4" w:rsidTr="00E95A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lastRenderedPageBreak/>
              <w:t>D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内质网上的核糖体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B41233" w:rsidRPr="00875398" w:rsidRDefault="0079729E" w:rsidP="00E95A76">
            <w:pPr>
              <w:pStyle w:val="a6"/>
              <w:tabs>
                <w:tab w:val="left" w:pos="4305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75398">
              <w:rPr>
                <w:rFonts w:ascii="Times New Roman" w:hAnsi="Times New Roman" w:cs="Times New Roman"/>
              </w:rPr>
              <w:t>内质网、高尔基体</w:t>
            </w:r>
          </w:p>
        </w:tc>
      </w:tr>
    </w:tbl>
    <w:p w:rsidR="00B41233" w:rsidRPr="00875398" w:rsidRDefault="0079729E" w:rsidP="00B41233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抗体是分泌蛋白，需要在内质网上的核糖体合成肽链，再经过内质网的初加工，由囊泡转移到高尔基体再加工才分泌到细胞外。</w:t>
      </w:r>
    </w:p>
    <w:p w:rsidR="00207606" w:rsidRPr="00B41233" w:rsidRDefault="0079729E"/>
    <w:sectPr w:rsidR="00207606" w:rsidRPr="00B412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9E" w:rsidRDefault="0079729E" w:rsidP="0079729E">
      <w:r>
        <w:separator/>
      </w:r>
    </w:p>
  </w:endnote>
  <w:endnote w:type="continuationSeparator" w:id="0">
    <w:p w:rsidR="0079729E" w:rsidRDefault="0079729E" w:rsidP="00797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29E" w:rsidRDefault="007972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29E" w:rsidRPr="0079729E" w:rsidRDefault="0079729E" w:rsidP="0079729E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29E" w:rsidRDefault="0079729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9E" w:rsidRDefault="0079729E" w:rsidP="0079729E">
      <w:r>
        <w:separator/>
      </w:r>
    </w:p>
  </w:footnote>
  <w:footnote w:type="continuationSeparator" w:id="0">
    <w:p w:rsidR="0079729E" w:rsidRDefault="0079729E" w:rsidP="00797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29E" w:rsidRDefault="007972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29E" w:rsidRPr="0079729E" w:rsidRDefault="0079729E" w:rsidP="0079729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29E" w:rsidRDefault="007972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C4"/>
    <w:rsid w:val="001002C4"/>
    <w:rsid w:val="0079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233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B4123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B41233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233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B4123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B41233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452;&#20987;&#39640;&#32771;.TI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BY60.TIF" TargetMode="External"/><Relationship Id="rId5" Type="http://schemas.openxmlformats.org/officeDocument/2006/relationships/footnotes" Target="footnotes.xml"/><Relationship Id="rId15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17JSSW7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2593;&#32476;&#26500;&#24314;.TIF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190</Words>
  <Characters>1084</Characters>
  <Application>Microsoft Office Word</Application>
  <DocSecurity>0</DocSecurity>
  <Lines>9</Lines>
  <Paragraphs>2</Paragraphs>
  <ScaleCrop>false</ScaleCrop>
  <Manager>www.shulihua.net收集整理</Manager>
  <Company>www.shulihua.net收集整理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2018-08-10T14:05:00Z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